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EF7" w:rsidRDefault="00FB2EF7" w:rsidP="00FB2EF7">
      <w:pPr>
        <w:jc w:val="center"/>
      </w:pPr>
      <w:r>
        <w:rPr>
          <w:b/>
          <w:sz w:val="28"/>
        </w:rPr>
        <w:t>Psychotherapist–Client Services Agreement &amp; HIPAA Notice</w:t>
      </w:r>
    </w:p>
    <w:p w:rsidR="00FE1BA0" w:rsidRDefault="00C348AF">
      <w:pPr>
        <w:spacing w:before="160" w:after="80"/>
      </w:pPr>
      <w:r>
        <w:rPr>
          <w:b/>
          <w:sz w:val="24"/>
        </w:rPr>
        <w:t>1. Purpose and services</w:t>
      </w:r>
    </w:p>
    <w:p w:rsidR="00FE1BA0" w:rsidRDefault="00C348AF">
      <w:r>
        <w:t>This Agreement describes professional counseling services, business policies, privacy protections, and patient rights. Psychotherapy may involve uncomfortable feelings as well as benefits such as improved relationships, problem-solving, and reduced distress. No particular outcome is guaranteed.</w:t>
      </w:r>
    </w:p>
    <w:p w:rsidR="00FE1BA0" w:rsidRDefault="00C348AF">
      <w:pPr>
        <w:spacing w:before="160" w:after="80"/>
      </w:pPr>
      <w:r>
        <w:rPr>
          <w:b/>
          <w:sz w:val="24"/>
        </w:rPr>
        <w:t>2. Professional fees and billing</w:t>
      </w:r>
    </w:p>
    <w:p w:rsidR="00FE1BA0" w:rsidRDefault="00C348AF">
      <w:r>
        <w:t>Session fees vary from approximately $150 to $200 per hour. Additional professional services may include report writing, telephone conversations longer than 10 minutes, consultation with other professionals with permission, preparation of records/treatment summaries, and other services requested by the client. These services may not be covered by insurance and are the client’s responsibility. Legal proceedings requiring clinician participation are billed at $200 per hour for preparation, travel, and attendance.</w:t>
      </w:r>
    </w:p>
    <w:p w:rsidR="00FE1BA0" w:rsidRDefault="00C348AF">
      <w:r>
        <w:t>Payment is expected at the time of service unless another arrangement is agreed upon. A $40 fee will be charged for any check returned by the bank as non-collectable. A $40 fee will also be charged for a denied or declined credit card payment.</w:t>
      </w:r>
    </w:p>
    <w:p w:rsidR="00FE1BA0" w:rsidRDefault="00C348AF">
      <w:pPr>
        <w:spacing w:before="160" w:after="80"/>
      </w:pPr>
      <w:r>
        <w:rPr>
          <w:b/>
          <w:sz w:val="24"/>
        </w:rPr>
        <w:t>3. Cancellation / missed appointment policy</w:t>
      </w:r>
    </w:p>
    <w:p w:rsidR="00FE1BA0" w:rsidRDefault="00C348AF">
      <w:r>
        <w:t>Appointments are reserved exclusively for the client. At least 24 hours’ advance notice is expected for cancellations. There is no penalty for cancellations made with more than 24 hours’ notice. The fee for a late cancellation or missed session is $120, except when an unforeseen and unpredictable circumstance prevented attendance. Insurance companies do not generally reimburse cancelled or missed sessions. When possible, the practice may attempt to reschedule and, when sufficient notice and availability permit, may waive the fee.</w:t>
      </w:r>
    </w:p>
    <w:p w:rsidR="00FE1BA0" w:rsidRDefault="00C348AF">
      <w:pPr>
        <w:spacing w:before="160" w:after="80"/>
      </w:pPr>
      <w:r>
        <w:rPr>
          <w:b/>
          <w:sz w:val="24"/>
        </w:rPr>
        <w:t>4. Insurance</w:t>
      </w:r>
    </w:p>
    <w:p w:rsidR="00FE1BA0" w:rsidRDefault="00C348AF">
      <w:r>
        <w:t xml:space="preserve">Clients are responsible for co-pays, deductibles, and amounts not paid by insurance, except for provider-contracted reductions. Insurance contracts may require the practice to provide information relevant to </w:t>
      </w:r>
      <w:proofErr w:type="gramStart"/>
      <w:r>
        <w:t>services</w:t>
      </w:r>
      <w:proofErr w:type="gramEnd"/>
      <w:r>
        <w:t>, including a clinical diagnosis and, in some circumstances, additional clinical information or records. The practice will seek to disclose the minimum information necessary. The client remains responsible for full payment of fees regardless of insurer reimbursement.</w:t>
      </w:r>
    </w:p>
    <w:p w:rsidR="00FE1BA0" w:rsidRDefault="00C348AF">
      <w:pPr>
        <w:spacing w:before="160" w:after="80"/>
      </w:pPr>
      <w:r>
        <w:rPr>
          <w:b/>
          <w:sz w:val="24"/>
        </w:rPr>
        <w:t>5. Confidentiality and HIPAA</w:t>
      </w:r>
    </w:p>
    <w:p w:rsidR="00FE1BA0" w:rsidRDefault="00C348AF">
      <w:r>
        <w:t>Communications and protected health information are confidential subject to applicable law. Written authorization is generally required for disclosures, but the supplied agreement describes legal and safety-related exceptions, including certain required reports, situations involving serious threats of harm, and disclosures needed for treatment, payment, health care operations, or other purposes permitted or required by law. The practice may consult with professionals and administrative staff as needed for clinical and administrative purposes, subject to confidentiality requirements.</w:t>
      </w:r>
    </w:p>
    <w:p w:rsidR="00FE1BA0" w:rsidRDefault="00C348AF">
      <w:r>
        <w:t>Patients have HIPAA-related rights regarding access and amendment of records, restrictions on certain disclosures, accounting of certain disclosures, and receiving privacy information. The supplied agreement also describes special rules concerning psychotherapy notes and communications with health plans.</w:t>
      </w:r>
    </w:p>
    <w:p w:rsidR="009F352D" w:rsidRDefault="009F352D">
      <w:pPr>
        <w:spacing w:before="160" w:after="80"/>
        <w:rPr>
          <w:b/>
          <w:sz w:val="24"/>
        </w:rPr>
      </w:pPr>
    </w:p>
    <w:p w:rsidR="009F352D" w:rsidRDefault="009F352D">
      <w:pPr>
        <w:spacing w:before="160" w:after="80"/>
        <w:rPr>
          <w:b/>
          <w:sz w:val="24"/>
        </w:rPr>
      </w:pPr>
    </w:p>
    <w:p w:rsidR="00FE1BA0" w:rsidRDefault="00C348AF">
      <w:pPr>
        <w:spacing w:before="160" w:after="80"/>
      </w:pPr>
      <w:bookmarkStart w:id="0" w:name="_GoBack"/>
      <w:bookmarkEnd w:id="0"/>
      <w:r>
        <w:rPr>
          <w:b/>
          <w:sz w:val="24"/>
        </w:rPr>
        <w:lastRenderedPageBreak/>
        <w:t>6. Professional records</w:t>
      </w:r>
    </w:p>
    <w:p w:rsidR="00FE1BA0" w:rsidRDefault="00C348AF">
      <w:r>
        <w:t>The practice maintains clinical records as required by professional standards and law. Subject to applicable exceptions, clients may request to examine or receive copies of their clinical record in writing. Psychotherapy notes and certain information prepared for legal proceedings are subject to different access rules.</w:t>
      </w:r>
    </w:p>
    <w:p w:rsidR="00FE1BA0" w:rsidRDefault="00C348AF">
      <w:pPr>
        <w:spacing w:before="160" w:after="80"/>
      </w:pPr>
      <w:r>
        <w:rPr>
          <w:b/>
          <w:sz w:val="24"/>
        </w:rPr>
        <w:t>7. Minors</w:t>
      </w:r>
    </w:p>
    <w:p w:rsidR="00FE1BA0" w:rsidRDefault="00C348AF">
      <w:r>
        <w:t>For clients under 18 who are not emancipated, the supplied agreement describes circumstances in which parents may have access to records and circumstances in which the practice may seek a parent’s agreement to limit access, consistent with applicable law and the client’s safety.</w:t>
      </w:r>
    </w:p>
    <w:p w:rsidR="00FE1BA0" w:rsidRDefault="00C348AF" w:rsidP="00962838">
      <w:pPr>
        <w:tabs>
          <w:tab w:val="left" w:pos="5813"/>
        </w:tabs>
        <w:spacing w:before="160" w:after="80"/>
      </w:pPr>
      <w:r>
        <w:rPr>
          <w:b/>
          <w:sz w:val="24"/>
        </w:rPr>
        <w:t>8. Acknowledgment and signatures</w:t>
      </w:r>
      <w:r w:rsidR="00962838">
        <w:rPr>
          <w:b/>
          <w:sz w:val="24"/>
        </w:rPr>
        <w:tab/>
      </w:r>
    </w:p>
    <w:p w:rsidR="00FE1BA0" w:rsidRDefault="00C348AF">
      <w:r>
        <w:t>By signing below, I acknowledge that I have read this agreement and the HIPAA/privacy information provided with it, had an opportunity to ask questions, and agree to abide by its terms during the professional relationship.</w:t>
      </w:r>
    </w:p>
    <w:p w:rsidR="00FE1BA0" w:rsidRDefault="00C348AF">
      <w:r>
        <w:t>Client/Authorized Person: ______________________________________________</w:t>
      </w:r>
    </w:p>
    <w:p w:rsidR="00FE1BA0" w:rsidRDefault="00C348AF">
      <w:r>
        <w:t>Electronic Signature: _________________________________________________</w:t>
      </w:r>
    </w:p>
    <w:p w:rsidR="00FE1BA0" w:rsidRDefault="00C348AF">
      <w:r>
        <w:t>Date: __________________________</w:t>
      </w:r>
    </w:p>
    <w:p w:rsidR="00FE1BA0" w:rsidRDefault="00C348AF">
      <w:r>
        <w:t>Guardian Signature (if client is under 18): ______________________________</w:t>
      </w:r>
    </w:p>
    <w:p w:rsidR="00FE1BA0" w:rsidRDefault="00C348AF">
      <w:r>
        <w:t>Guardian Printed Name: ________________________________________________</w:t>
      </w:r>
    </w:p>
    <w:sectPr w:rsidR="00FE1BA0" w:rsidSect="00034616">
      <w:headerReference w:type="even" r:id="rId8"/>
      <w:headerReference w:type="default" r:id="rId9"/>
      <w:footerReference w:type="even" r:id="rId10"/>
      <w:footerReference w:type="default" r:id="rId11"/>
      <w:headerReference w:type="first" r:id="rId12"/>
      <w:footerReference w:type="first" r:id="rId13"/>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6850" w:rsidRDefault="006E6850" w:rsidP="00FB2EF7">
      <w:pPr>
        <w:spacing w:after="0" w:line="240" w:lineRule="auto"/>
      </w:pPr>
      <w:r>
        <w:separator/>
      </w:r>
    </w:p>
  </w:endnote>
  <w:endnote w:type="continuationSeparator" w:id="0">
    <w:p w:rsidR="006E6850" w:rsidRDefault="006E6850" w:rsidP="00FB2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BB" w:rsidRDefault="00C37D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4827416"/>
      <w:docPartObj>
        <w:docPartGallery w:val="Page Numbers (Bottom of Page)"/>
        <w:docPartUnique/>
      </w:docPartObj>
    </w:sdtPr>
    <w:sdtEndPr/>
    <w:sdtContent>
      <w:sdt>
        <w:sdtPr>
          <w:id w:val="-1769616900"/>
          <w:docPartObj>
            <w:docPartGallery w:val="Page Numbers (Top of Page)"/>
            <w:docPartUnique/>
          </w:docPartObj>
        </w:sdtPr>
        <w:sdtEndPr/>
        <w:sdtContent>
          <w:p w:rsidR="00FB2EF7" w:rsidRDefault="00FB2EF7">
            <w:pPr>
              <w:pStyle w:val="Footer"/>
              <w:jc w:val="right"/>
            </w:pPr>
            <w:r w:rsidRPr="00C37DBB">
              <w:rPr>
                <w:sz w:val="16"/>
                <w:szCs w:val="16"/>
              </w:rPr>
              <w:t xml:space="preserve">Page </w:t>
            </w:r>
            <w:r w:rsidRPr="00C37DBB">
              <w:rPr>
                <w:b/>
                <w:bCs/>
                <w:sz w:val="16"/>
                <w:szCs w:val="16"/>
              </w:rPr>
              <w:fldChar w:fldCharType="begin"/>
            </w:r>
            <w:r w:rsidRPr="00C37DBB">
              <w:rPr>
                <w:b/>
                <w:bCs/>
                <w:sz w:val="16"/>
                <w:szCs w:val="16"/>
              </w:rPr>
              <w:instrText xml:space="preserve"> PAGE </w:instrText>
            </w:r>
            <w:r w:rsidRPr="00C37DBB">
              <w:rPr>
                <w:b/>
                <w:bCs/>
                <w:sz w:val="16"/>
                <w:szCs w:val="16"/>
              </w:rPr>
              <w:fldChar w:fldCharType="separate"/>
            </w:r>
            <w:r w:rsidR="009F352D">
              <w:rPr>
                <w:b/>
                <w:bCs/>
                <w:noProof/>
                <w:sz w:val="16"/>
                <w:szCs w:val="16"/>
              </w:rPr>
              <w:t>2</w:t>
            </w:r>
            <w:r w:rsidRPr="00C37DBB">
              <w:rPr>
                <w:b/>
                <w:bCs/>
                <w:sz w:val="16"/>
                <w:szCs w:val="16"/>
              </w:rPr>
              <w:fldChar w:fldCharType="end"/>
            </w:r>
            <w:r w:rsidRPr="00C37DBB">
              <w:rPr>
                <w:sz w:val="16"/>
                <w:szCs w:val="16"/>
              </w:rPr>
              <w:t xml:space="preserve"> of </w:t>
            </w:r>
            <w:r w:rsidRPr="00C37DBB">
              <w:rPr>
                <w:b/>
                <w:bCs/>
                <w:sz w:val="16"/>
                <w:szCs w:val="16"/>
              </w:rPr>
              <w:fldChar w:fldCharType="begin"/>
            </w:r>
            <w:r w:rsidRPr="00C37DBB">
              <w:rPr>
                <w:b/>
                <w:bCs/>
                <w:sz w:val="16"/>
                <w:szCs w:val="16"/>
              </w:rPr>
              <w:instrText xml:space="preserve"> NUMPAGES  </w:instrText>
            </w:r>
            <w:r w:rsidRPr="00C37DBB">
              <w:rPr>
                <w:b/>
                <w:bCs/>
                <w:sz w:val="16"/>
                <w:szCs w:val="16"/>
              </w:rPr>
              <w:fldChar w:fldCharType="separate"/>
            </w:r>
            <w:r w:rsidR="009F352D">
              <w:rPr>
                <w:b/>
                <w:bCs/>
                <w:noProof/>
                <w:sz w:val="16"/>
                <w:szCs w:val="16"/>
              </w:rPr>
              <w:t>2</w:t>
            </w:r>
            <w:r w:rsidRPr="00C37DBB">
              <w:rPr>
                <w:b/>
                <w:bCs/>
                <w:sz w:val="16"/>
                <w:szCs w:val="16"/>
              </w:rPr>
              <w:fldChar w:fldCharType="end"/>
            </w:r>
          </w:p>
        </w:sdtContent>
      </w:sdt>
    </w:sdtContent>
  </w:sdt>
  <w:p w:rsidR="00C4024A" w:rsidRPr="00776D65" w:rsidRDefault="00776D65" w:rsidP="00776D65">
    <w:pPr>
      <w:tabs>
        <w:tab w:val="center" w:pos="4680"/>
        <w:tab w:val="right" w:pos="9360"/>
      </w:tabs>
      <w:spacing w:after="0" w:line="240" w:lineRule="auto"/>
      <w:jc w:val="center"/>
      <w:rPr>
        <w:rFonts w:ascii="Aptos" w:hAnsi="Aptos" w:hint="eastAsia"/>
      </w:rPr>
    </w:pPr>
    <w:r w:rsidRPr="00776D65">
      <w:rPr>
        <w:rFonts w:ascii="Aptos" w:hAnsi="Aptos"/>
        <w:sz w:val="16"/>
      </w:rPr>
      <w:t>Nu</w:t>
    </w:r>
    <w:r w:rsidR="00C37DBB">
      <w:rPr>
        <w:rFonts w:ascii="Aptos" w:hAnsi="Aptos"/>
        <w:sz w:val="16"/>
      </w:rPr>
      <w:t>rturing Strong Roots Counseling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BB" w:rsidRDefault="00C37D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6850" w:rsidRDefault="006E6850" w:rsidP="00FB2EF7">
      <w:pPr>
        <w:spacing w:after="0" w:line="240" w:lineRule="auto"/>
      </w:pPr>
      <w:r>
        <w:separator/>
      </w:r>
    </w:p>
  </w:footnote>
  <w:footnote w:type="continuationSeparator" w:id="0">
    <w:p w:rsidR="006E6850" w:rsidRDefault="006E6850" w:rsidP="00FB2E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BB" w:rsidRDefault="00C37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EF7" w:rsidRDefault="00FB2EF7">
    <w:pPr>
      <w:pStyle w:val="Header"/>
    </w:pPr>
    <w:r>
      <w:rPr>
        <w:noProof/>
      </w:rPr>
      <w:drawing>
        <wp:anchor distT="0" distB="0" distL="114300" distR="114300" simplePos="0" relativeHeight="251659264" behindDoc="1" locked="0" layoutInCell="1" allowOverlap="1" wp14:anchorId="32A45FD7" wp14:editId="66FD79BE">
          <wp:simplePos x="0" y="0"/>
          <wp:positionH relativeFrom="page">
            <wp:posOffset>7272338</wp:posOffset>
          </wp:positionH>
          <wp:positionV relativeFrom="paragraph">
            <wp:posOffset>-457200</wp:posOffset>
          </wp:positionV>
          <wp:extent cx="405130" cy="539273"/>
          <wp:effectExtent l="152400" t="152400" r="356870" b="3562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 for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8808" cy="54416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BB" w:rsidRDefault="00C37D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E6850"/>
    <w:rsid w:val="00776D65"/>
    <w:rsid w:val="008E16F2"/>
    <w:rsid w:val="00962838"/>
    <w:rsid w:val="009F352D"/>
    <w:rsid w:val="00AA1D8D"/>
    <w:rsid w:val="00B47730"/>
    <w:rsid w:val="00BD0DE6"/>
    <w:rsid w:val="00C348AF"/>
    <w:rsid w:val="00C37DBB"/>
    <w:rsid w:val="00C4024A"/>
    <w:rsid w:val="00CB0664"/>
    <w:rsid w:val="00DF3C64"/>
    <w:rsid w:val="00FB2EF7"/>
    <w:rsid w:val="00FC693F"/>
    <w:rsid w:val="00FE1B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3079BFC5-6471-4747-B6B6-4ACABAF9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rganization">
    <w:name w:val="Organization"/>
    <w:basedOn w:val="Normal"/>
    <w:next w:val="Normal"/>
    <w:uiPriority w:val="4"/>
    <w:qFormat/>
    <w:rsid w:val="00FB2EF7"/>
    <w:pPr>
      <w:spacing w:before="160" w:after="0" w:line="288" w:lineRule="auto"/>
    </w:pPr>
    <w:rPr>
      <w:rFonts w:asciiTheme="majorHAnsi" w:eastAsiaTheme="majorEastAsia" w:hAnsiTheme="majorHAnsi" w:cstheme="majorBidi"/>
      <w:color w:val="365F91" w:themeColor="accent1" w:themeShade="BF"/>
      <w:kern w:val="2"/>
      <w:sz w:val="18"/>
      <w:szCs w:val="20"/>
      <w:lang w:eastAsia="ja-JP"/>
      <w14:ligatures w14:val="standar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2F35B-56CC-478D-86B5-1BBB7B665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Nurturing Strong Roots Counseling</Company>
  <LinksUpToDate>false</LinksUpToDate>
  <CharactersWithSpaces>4384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Mansi Sant</cp:lastModifiedBy>
  <cp:revision>5</cp:revision>
  <dcterms:created xsi:type="dcterms:W3CDTF">2026-10-01T17:07:00Z</dcterms:created>
  <dcterms:modified xsi:type="dcterms:W3CDTF">2026-10-05T16:37:00Z</dcterms:modified>
  <cp:category/>
</cp:coreProperties>
</file>